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EC" w:rsidRPr="00C74E79" w:rsidRDefault="003C1716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>КРИТЕРИЈУМИ ЗА ОЦЕЊИВАЊЕ САОБРАЋАЈ –</w:t>
      </w:r>
      <w:r w:rsidR="006F6F22">
        <w:rPr>
          <w:rFonts w:ascii="Times New Roman" w:hAnsi="Times New Roman" w:cs="Times New Roman"/>
          <w:sz w:val="32"/>
          <w:szCs w:val="32"/>
          <w:lang w:val="sr-Cyrl-RS"/>
        </w:rPr>
        <w:t xml:space="preserve"> ТЕРЕТИ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sr-Cyrl-RS"/>
        </w:rPr>
        <w:t xml:space="preserve"> У </w:t>
      </w:r>
      <w:r w:rsidR="006F6F22">
        <w:rPr>
          <w:rFonts w:ascii="Times New Roman" w:hAnsi="Times New Roman" w:cs="Times New Roman"/>
          <w:sz w:val="32"/>
          <w:szCs w:val="32"/>
          <w:lang w:val="sr-Cyrl-RS"/>
        </w:rPr>
        <w:t>ДРУМСКОМ САОБРАЋАЈУ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  <w:r w:rsidR="002F40C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7BEC" w:rsidRDefault="000A7BEC" w:rsidP="000A7BEC"/>
    <w:sectPr w:rsidR="000A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EC"/>
    <w:rsid w:val="000A7BEC"/>
    <w:rsid w:val="002F40C0"/>
    <w:rsid w:val="003C1716"/>
    <w:rsid w:val="006F6F22"/>
    <w:rsid w:val="00AA4A99"/>
    <w:rsid w:val="00C74E79"/>
    <w:rsid w:val="00E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3137"/>
  <w15:chartTrackingRefBased/>
  <w15:docId w15:val="{8873C4A1-3360-4713-9872-05571335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5CBA4-B355-4C42-AABF-90BA395D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2024-09-12T18:29:00Z</dcterms:created>
  <dcterms:modified xsi:type="dcterms:W3CDTF">2024-09-12T18:29:00Z</dcterms:modified>
</cp:coreProperties>
</file>